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342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«СУ №967»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Борисовой </w:t>
      </w:r>
      <w:r>
        <w:rPr>
          <w:rStyle w:val="cat-UserDefinedgrp-3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Усть-Донецкий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z w:val="28"/>
          <w:szCs w:val="28"/>
        </w:rPr>
        <w:t>ООО «СУ №967»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исполняя должностные обязанности по месту нахождения юридического лица по адресу: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01.12.2025 по 10.12.2025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16.12.2025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7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2rplc-2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01.12.2025 по 10.12.2025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19.12.2025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1373650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«СУ №967»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распечаткой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активного процесса № </w:t>
      </w:r>
      <w:r>
        <w:rPr>
          <w:rFonts w:ascii="Times New Roman" w:eastAsia="Times New Roman" w:hAnsi="Times New Roman" w:cs="Times New Roman"/>
          <w:sz w:val="28"/>
          <w:szCs w:val="28"/>
        </w:rPr>
        <w:t>373691232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функционального компонента «Проактивные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Борисову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3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7978600</w:t>
      </w:r>
      <w:r>
        <w:rPr>
          <w:rFonts w:ascii="Times New Roman" w:eastAsia="Times New Roman" w:hAnsi="Times New Roman" w:cs="Times New Roman"/>
          <w:sz w:val="28"/>
          <w:szCs w:val="28"/>
        </w:rPr>
        <w:t>2104260145798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21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0824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SumInWordsgrp-22rplc-27">
    <w:name w:val="cat-SumInWords grp-22 rplc-27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Sumgrp-23rplc-40">
    <w:name w:val="cat-Sum grp-23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4635-F33E-4AAE-B79D-489FCB2C937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